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Pr>
        <w:keepNext w:val="0"/>
        <w:widowControl/>
        <w:spacing w:line="360" w:lineRule="auto" w:before="0" w:after="600"/>
        <w:jc w:val="center"/>
      </w:pPr>
      <w:r>
        <w:rPr>
          <w:rFonts w:ascii="Times New Roman" w:hAnsi="Times New Roman"/>
          <w:b/>
          <w:sz w:val="28"/>
        </w:rPr>
        <w:t>Capstone Project Proposal</w:t>
      </w:r>
    </w:p>
    <w:p>
      <w:pPr>
        <w:keepNext w:val="0"/>
        <w:widowControl/>
        <w:spacing w:line="360" w:lineRule="auto" w:before="0" w:after="480"/>
        <w:jc w:val="center"/>
      </w:pPr>
      <w:r>
        <w:rPr>
          <w:rFonts w:ascii="Times New Roman" w:hAnsi="Times New Roman"/>
          <w:b/>
          <w:sz w:val="24"/>
        </w:rPr>
        <w:t>Responsible Artificial Intelligence Guidelines for Fine Arts</w:t>
      </w:r>
    </w:p>
    <w:p>
      <w:pPr>
        <w:keepNext w:val="0"/>
        <w:widowControl/>
        <w:spacing w:line="360" w:lineRule="auto" w:before="0" w:after="160"/>
        <w:jc w:val="center"/>
      </w:pPr>
      <w:r>
        <w:rPr>
          <w:rFonts w:ascii="Times New Roman" w:hAnsi="Times New Roman"/>
          <w:b/>
          <w:i w:val="0"/>
          <w:sz w:val="24"/>
        </w:rPr>
        <w:t>Project Team:</w:t>
      </w:r>
      <w:r>
        <w:rPr>
          <w:rFonts w:ascii="Times New Roman" w:hAnsi="Times New Roman"/>
          <w:b w:val="0"/>
          <w:i w:val="0"/>
          <w:sz w:val="24"/>
        </w:rPr>
        <w:t xml:space="preserve"> Connor Tracy  </w:t>
      </w:r>
    </w:p>
    <w:p>
      <w:pPr>
        <w:keepNext w:val="0"/>
        <w:widowControl/>
        <w:spacing w:line="360" w:lineRule="auto" w:before="0" w:after="160"/>
        <w:jc w:val="center"/>
      </w:pPr>
      <w:r>
        <w:rPr>
          <w:rFonts w:ascii="Times New Roman" w:hAnsi="Times New Roman"/>
          <w:b/>
          <w:i w:val="0"/>
          <w:sz w:val="24"/>
        </w:rPr>
        <w:t>Team Name:</w:t>
      </w:r>
      <w:r>
        <w:rPr>
          <w:rFonts w:ascii="Times New Roman" w:hAnsi="Times New Roman"/>
          <w:b w:val="0"/>
          <w:i w:val="0"/>
          <w:sz w:val="24"/>
        </w:rPr>
        <w:t xml:space="preserve"> Individual Project  </w:t>
      </w:r>
    </w:p>
    <w:p>
      <w:pPr>
        <w:keepNext w:val="0"/>
        <w:widowControl/>
        <w:spacing w:line="360" w:lineRule="auto" w:before="0" w:after="160"/>
        <w:jc w:val="center"/>
      </w:pPr>
      <w:r>
        <w:rPr>
          <w:rFonts w:ascii="Times New Roman" w:hAnsi="Times New Roman"/>
          <w:b/>
          <w:i w:val="0"/>
          <w:sz w:val="24"/>
        </w:rPr>
        <w:t>Course:</w:t>
      </w:r>
      <w:r>
        <w:rPr>
          <w:rFonts w:ascii="Times New Roman" w:hAnsi="Times New Roman"/>
          <w:b w:val="0"/>
          <w:i w:val="0"/>
          <w:sz w:val="24"/>
        </w:rPr>
        <w:t xml:space="preserve"> IGED 210, Discovery Writing for Arts &amp; Sciences  </w:t>
      </w:r>
    </w:p>
    <w:p>
      <w:pPr>
        <w:keepNext w:val="0"/>
        <w:widowControl/>
        <w:spacing w:line="360" w:lineRule="auto" w:before="0" w:after="160"/>
        <w:jc w:val="center"/>
      </w:pPr>
      <w:r>
        <w:rPr>
          <w:rFonts w:ascii="Times New Roman" w:hAnsi="Times New Roman"/>
          <w:b/>
          <w:i w:val="0"/>
          <w:sz w:val="24"/>
        </w:rPr>
        <w:t>Date:</w:t>
      </w:r>
      <w:r>
        <w:rPr>
          <w:rFonts w:ascii="Times New Roman" w:hAnsi="Times New Roman"/>
          <w:b w:val="0"/>
          <w:i w:val="0"/>
          <w:sz w:val="24"/>
        </w:rPr>
        <w:t xml:space="preserve"> August 13, 2026</w:t>
      </w:r>
    </w:p>
    <w:p>
      <w:pPr>
        <w:sectPr>
          <w:pgSz w:w="12240" w:h="15840"/>
          <w:pgMar w:top="1440" w:right="1440" w:bottom="1440" w:left="1440" w:header="720" w:footer="720" w:gutter="0"/>
          <w:cols w:space="720"/>
          <w:docGrid w:linePitch="360"/>
        </w:sectPr>
      </w:pPr>
    </w:p>
    <w:p>
      <w:pPr>
        <w:keepNext/>
        <w:widowControl/>
        <w:spacing w:line="360" w:lineRule="auto" w:before="240" w:after="120"/>
      </w:pPr>
      <w:r>
        <w:rPr>
          <w:rFonts w:ascii="Times New Roman" w:hAnsi="Times New Roman"/>
          <w:b/>
          <w:i w:val="0"/>
          <w:color w:val="000000"/>
          <w:sz w:val="24"/>
        </w:rPr>
        <w:t>Project Partner(s)</w:t>
      </w:r>
    </w:p>
    <w:p>
      <w:pPr>
        <w:keepNext w:val="0"/>
        <w:widowControl/>
        <w:spacing w:line="360" w:lineRule="auto" w:before="0" w:after="120"/>
      </w:pPr>
      <w:r>
        <w:rPr>
          <w:rFonts w:ascii="Times New Roman" w:hAnsi="Times New Roman"/>
          <w:b w:val="0"/>
          <w:i w:val="0"/>
          <w:sz w:val="24"/>
        </w:rPr>
        <w:t>Proposed partners include UDC Art Program faculty, the UDC Learning Resources Division, and fine arts student volunteers. Their participation would be requested during the project and is not assumed in advance.</w:t>
      </w:r>
    </w:p>
    <w:p>
      <w:pPr>
        <w:keepNext/>
        <w:widowControl/>
        <w:spacing w:line="360" w:lineRule="auto" w:before="240" w:after="120"/>
      </w:pPr>
      <w:r>
        <w:rPr>
          <w:rFonts w:ascii="Times New Roman" w:hAnsi="Times New Roman"/>
          <w:b/>
          <w:i w:val="0"/>
          <w:color w:val="000000"/>
          <w:sz w:val="24"/>
        </w:rPr>
        <w:t>Need Statement</w:t>
      </w:r>
    </w:p>
    <w:p>
      <w:pPr>
        <w:keepNext w:val="0"/>
        <w:widowControl/>
        <w:spacing w:line="360" w:lineRule="auto" w:before="0" w:after="120"/>
      </w:pPr>
      <w:r>
        <w:rPr>
          <w:rFonts w:ascii="Times New Roman" w:hAnsi="Times New Roman"/>
          <w:b/>
          <w:i w:val="0"/>
          <w:sz w:val="24"/>
        </w:rPr>
        <w:t>Research question:</w:t>
      </w:r>
      <w:r>
        <w:rPr>
          <w:rFonts w:ascii="Times New Roman" w:hAnsi="Times New Roman"/>
          <w:b w:val="0"/>
          <w:i w:val="0"/>
          <w:sz w:val="24"/>
        </w:rPr>
        <w:t xml:space="preserve"> How can UDC fine arts students and instructors develop practical guidelines for responsible AI use in creative assignments so that AI supports brainstorming, research, and workflow without replacing originality, authorship, or creative decision-making?</w:t>
      </w:r>
    </w:p>
    <w:p>
      <w:pPr>
        <w:keepNext w:val="0"/>
        <w:widowControl/>
        <w:spacing w:line="360" w:lineRule="auto" w:before="0" w:after="120"/>
      </w:pPr>
      <w:r>
        <w:rPr>
          <w:rFonts w:ascii="Times New Roman" w:hAnsi="Times New Roman"/>
          <w:b w:val="0"/>
          <w:i w:val="0"/>
          <w:sz w:val="24"/>
        </w:rPr>
        <w:t>Artificial intelligence is becoming part of creative education and professional art practice, but UDC fine arts students and instructors need clearer ways to decide when it supports learning and when it begins to replace the student's own creative work. Students may use AI for brainstorming, research, transcription, accessibility, mockups, or workflow. The same tools can generate images, text, and design decisions that make originality and authorship difficult to evaluate. Without shared expectations, students may not know what requires permission or disclosure, and instructors may apply different standards from one assignment to another.</w:t>
      </w:r>
    </w:p>
    <w:p>
      <w:pPr>
        <w:keepNext w:val="0"/>
        <w:widowControl/>
        <w:spacing w:line="360" w:lineRule="auto" w:before="0" w:after="120"/>
      </w:pPr>
      <w:r>
        <w:rPr>
          <w:rFonts w:ascii="Times New Roman" w:hAnsi="Times New Roman"/>
          <w:b w:val="0"/>
          <w:i w:val="0"/>
          <w:sz w:val="24"/>
        </w:rPr>
        <w:t>This proposal recommends a small eight-week pilot rather than a university-wide policy. The pilot would gather student and instructor perspectives, create a one-page assignment-level AI guide and disclosure statement, and test the materials through a fine arts workshop. The purpose is to help instructors set limits that match an assignment's learning goals while helping students explain which ideas, decisions, and revisions remain their own.</w:t>
      </w:r>
    </w:p>
    <w:p>
      <w:pPr>
        <w:keepNext/>
        <w:widowControl/>
        <w:spacing w:line="360" w:lineRule="auto" w:before="240" w:after="120"/>
      </w:pPr>
      <w:r>
        <w:rPr>
          <w:rFonts w:ascii="Times New Roman" w:hAnsi="Times New Roman"/>
          <w:b/>
          <w:i w:val="0"/>
          <w:color w:val="000000"/>
          <w:sz w:val="24"/>
        </w:rPr>
        <w:t>Background/Significance of the Problem</w:t>
      </w:r>
    </w:p>
    <w:p>
      <w:pPr>
        <w:keepNext w:val="0"/>
        <w:widowControl/>
        <w:spacing w:line="360" w:lineRule="auto" w:before="0" w:after="120"/>
      </w:pPr>
      <w:r>
        <w:rPr>
          <w:rFonts w:ascii="Times New Roman" w:hAnsi="Times New Roman"/>
          <w:b w:val="0"/>
          <w:i w:val="0"/>
          <w:sz w:val="24"/>
        </w:rPr>
        <w:t>The problem developed as generative AI moved rapidly into education and creative software. UDC's Art Program includes studio art, graphic design, and photography and emphasizes conceptual thinking, technical skills, digital tools, and preparation for the creative marketplace (University of the District of Columbia, n.d.). Art and photography have always changed alongside technology, but generative AI is different from many earlier tools because it can create parts of the concept or final expression rather than only helping an artist carry out a decision.</w:t>
      </w:r>
    </w:p>
    <w:p>
      <w:pPr>
        <w:keepNext w:val="0"/>
        <w:widowControl/>
        <w:spacing w:line="360" w:lineRule="auto" w:before="0" w:after="120"/>
      </w:pPr>
      <w:r>
        <w:rPr>
          <w:rFonts w:ascii="Times New Roman" w:hAnsi="Times New Roman"/>
          <w:b w:val="0"/>
          <w:i w:val="0"/>
          <w:sz w:val="24"/>
        </w:rPr>
        <w:t>Several solutions have already been tried at broader levels. UDC's Artificial Intelligence Help Guide introduces generative AI, its limitations, and methods for evaluating and citing AI-assisted material (University of the District of Columbia, Learning Resources Division, 2026). The U.S. Department of Education (2023) and the United Nations Educational, Scientific and Cultural Organization (UNESCO, 2024) recommend human-centered AI literacy, transparency, critical judgment, and accountability. Perkins et al. (2024) developed the AI Assessment Scale, which allows instructors to communicate different levels of permitted AI use according to an assignment's learning outcomes. These resources provide useful foundations, but they do not answer medium-specific questions such as whether generative fill is appropriate in documentary photography, when AI-generated imagery can be used in graphic design, or how a studio art student should document generated visual references.</w:t>
      </w:r>
    </w:p>
    <w:p>
      <w:pPr>
        <w:keepNext w:val="0"/>
        <w:widowControl/>
        <w:spacing w:line="360" w:lineRule="auto" w:before="0" w:after="120"/>
      </w:pPr>
      <w:r>
        <w:rPr>
          <w:rFonts w:ascii="Times New Roman" w:hAnsi="Times New Roman"/>
          <w:b w:val="0"/>
          <w:i w:val="0"/>
          <w:sz w:val="24"/>
        </w:rPr>
        <w:t>The problem today is therefore not simply whether AI should be allowed. It is how students and instructors can distinguish assistance from substitution. Basty et al. (2025), in a study of 53 faculty members teaching creative courses, found possible benefits for ideation, problem-solving, and engagement alongside concerns about copyright, bias, academic integrity, and faculty preparation. Copyright guidance also reinforces the importance of human contribution. The U.S. Copyright Office (2025) explains that copyright protection continues to depend on human authorship, even when AI is used as an assistive tool. In the DMV, responsible AI is also becoming a workplace expectation; the District of Columbia introduced responsible AI training for government employees and contractors in 2026 (Office of the Chief Technology Officer, 2026). UDC fine arts students therefore need both creative freedom and professional habits of transparency.</w:t>
      </w:r>
    </w:p>
    <w:p>
      <w:pPr>
        <w:keepNext/>
        <w:widowControl/>
        <w:spacing w:line="360" w:lineRule="auto" w:before="240" w:after="120"/>
      </w:pPr>
      <w:r>
        <w:rPr>
          <w:rFonts w:ascii="Times New Roman" w:hAnsi="Times New Roman"/>
          <w:b/>
          <w:i w:val="0"/>
          <w:color w:val="000000"/>
          <w:sz w:val="24"/>
        </w:rPr>
        <w:t>Interdisciplinary Approaches and Possible Solutions</w:t>
      </w:r>
    </w:p>
    <w:p>
      <w:pPr>
        <w:keepNext w:val="0"/>
        <w:widowControl/>
        <w:spacing w:line="360" w:lineRule="auto" w:before="0" w:after="120"/>
      </w:pPr>
      <w:r>
        <w:rPr>
          <w:rFonts w:ascii="Times New Roman" w:hAnsi="Times New Roman"/>
          <w:b w:val="0"/>
          <w:i w:val="0"/>
          <w:sz w:val="24"/>
        </w:rPr>
        <w:t xml:space="preserve">The proposal combines three disciplinary ways of thinking because none can solve the problem alone. </w:t>
      </w:r>
      <w:r>
        <w:rPr>
          <w:rFonts w:ascii="Times New Roman" w:hAnsi="Times New Roman"/>
          <w:b/>
          <w:i w:val="0"/>
          <w:sz w:val="24"/>
        </w:rPr>
        <w:t>Fine arts and creative-practice methodology</w:t>
      </w:r>
      <w:r>
        <w:rPr>
          <w:rFonts w:ascii="Times New Roman" w:hAnsi="Times New Roman"/>
          <w:b w:val="0"/>
          <w:i w:val="0"/>
          <w:sz w:val="24"/>
        </w:rPr>
        <w:t xml:space="preserve"> focuses on intention, process, critique, authorship, and the relationship between a tool and the final work. This perspective will shape realistic scenarios from photography, graphic design, and studio art and will identify the creative decisions that should remain with the student.</w:t>
      </w:r>
    </w:p>
    <w:p>
      <w:pPr>
        <w:keepNext w:val="0"/>
        <w:widowControl/>
        <w:spacing w:line="360" w:lineRule="auto" w:before="0" w:after="120"/>
      </w:pPr>
      <w:r>
        <w:rPr>
          <w:rFonts w:ascii="Times New Roman" w:hAnsi="Times New Roman"/>
          <w:b/>
          <w:i w:val="0"/>
          <w:sz w:val="24"/>
        </w:rPr>
        <w:t>Education and social-science methodology</w:t>
      </w:r>
      <w:r>
        <w:rPr>
          <w:rFonts w:ascii="Times New Roman" w:hAnsi="Times New Roman"/>
          <w:b w:val="0"/>
          <w:i w:val="0"/>
          <w:sz w:val="24"/>
        </w:rPr>
        <w:t xml:space="preserve"> focuses on learning outcomes and evidence. A short anonymous survey will gather student and instructor perspectives, while pre- and post-workshop scenario questions will measure whether the proposed materials improve clarity. This keeps the project from being based only on my personal opinion as a photographer and art student.</w:t>
      </w:r>
    </w:p>
    <w:p>
      <w:pPr>
        <w:keepNext w:val="0"/>
        <w:widowControl/>
        <w:spacing w:line="360" w:lineRule="auto" w:before="0" w:after="120"/>
      </w:pPr>
      <w:r>
        <w:rPr>
          <w:rFonts w:ascii="Times New Roman" w:hAnsi="Times New Roman"/>
          <w:b/>
          <w:i w:val="0"/>
          <w:sz w:val="24"/>
        </w:rPr>
        <w:t>Ethics, copyright, and technology-policy methodology</w:t>
      </w:r>
      <w:r>
        <w:rPr>
          <w:rFonts w:ascii="Times New Roman" w:hAnsi="Times New Roman"/>
          <w:b w:val="0"/>
          <w:i w:val="0"/>
          <w:sz w:val="24"/>
        </w:rPr>
        <w:t xml:space="preserve"> focuses on disclosure, bias, accountability, privacy, and human authorship. Research from UDC, the U.S. Department of Education, UNESCO, the U.S. Copyright Office, and the AI Assessment Scale will guide the categories and language used in the materials.</w:t>
      </w:r>
    </w:p>
    <w:p>
      <w:pPr>
        <w:keepNext w:val="0"/>
        <w:widowControl/>
        <w:spacing w:line="360" w:lineRule="auto" w:before="0" w:after="120"/>
      </w:pPr>
      <w:r>
        <w:rPr>
          <w:rFonts w:ascii="Times New Roman" w:hAnsi="Times New Roman"/>
          <w:b w:val="0"/>
          <w:i w:val="0"/>
          <w:sz w:val="24"/>
        </w:rPr>
        <w:t>These approaches will be integrated through three connected solutions:</w:t>
      </w:r>
    </w:p>
    <w:p>
      <w:pPr>
        <w:pStyle w:val="ListBullet"/>
        <w:keepNext w:val="0"/>
        <w:widowControl/>
        <w:spacing w:line="360" w:lineRule="auto" w:before="0" w:after="60"/>
      </w:pPr>
      <w:r>
        <w:rPr>
          <w:rFonts w:ascii="Times New Roman" w:hAnsi="Times New Roman"/>
          <w:b w:val="0"/>
          <w:i w:val="0"/>
          <w:sz w:val="24"/>
        </w:rPr>
        <w:t>An assignment-level guide with four categories: no AI use, assistive AI use, limited generative use with disclosure, and instructor-directed AI exploration.</w:t>
      </w:r>
    </w:p>
    <w:p>
      <w:pPr>
        <w:pStyle w:val="ListBullet"/>
        <w:keepNext w:val="0"/>
        <w:widowControl/>
        <w:spacing w:line="360" w:lineRule="auto" w:before="0" w:after="60"/>
      </w:pPr>
      <w:r>
        <w:rPr>
          <w:rFonts w:ascii="Times New Roman" w:hAnsi="Times New Roman"/>
          <w:b w:val="0"/>
          <w:i w:val="0"/>
          <w:sz w:val="24"/>
        </w:rPr>
        <w:t>A disclosure statement asking students to identify the tool, explain where it entered their process, describe generated material used, and name their original decisions and revisions.</w:t>
      </w:r>
    </w:p>
    <w:p>
      <w:pPr>
        <w:pStyle w:val="ListBullet"/>
        <w:keepNext w:val="0"/>
        <w:widowControl/>
        <w:spacing w:line="360" w:lineRule="auto" w:before="0" w:after="60"/>
      </w:pPr>
      <w:r>
        <w:rPr>
          <w:rFonts w:ascii="Times New Roman" w:hAnsi="Times New Roman"/>
          <w:b w:val="0"/>
          <w:i w:val="0"/>
          <w:sz w:val="24"/>
        </w:rPr>
        <w:t>A 60-minute workshop using fine arts scenarios, group critique, and pre/post questions to test whether the guide is understandable and useful.</w:t>
      </w:r>
    </w:p>
    <w:p>
      <w:pPr>
        <w:keepNext w:val="0"/>
        <w:widowControl/>
        <w:spacing w:line="360" w:lineRule="auto" w:before="0" w:after="120"/>
      </w:pPr>
      <w:r>
        <w:rPr>
          <w:rFonts w:ascii="Times New Roman" w:hAnsi="Times New Roman"/>
          <w:b w:val="0"/>
          <w:i w:val="0"/>
          <w:sz w:val="24"/>
        </w:rPr>
        <w:t>The disciplines contribute different strengths. Creative practice makes the guidance relevant to artists; educational research provides evidence of whether it works; and ethics and copyright establish responsible limits. The pilot also recognizes limitations. It would not create permanent policy, settle every copyright question, or assume that one rule fits every medium. Faculty would continue deciding the permitted level of AI use for each assignment.</w:t>
      </w:r>
    </w:p>
    <w:p>
      <w:pPr>
        <w:keepNext/>
        <w:widowControl/>
        <w:spacing w:line="360" w:lineRule="auto" w:before="240" w:after="120"/>
      </w:pPr>
      <w:r>
        <w:rPr>
          <w:rFonts w:ascii="Times New Roman" w:hAnsi="Times New Roman"/>
          <w:b/>
          <w:i w:val="0"/>
          <w:color w:val="000000"/>
          <w:sz w:val="24"/>
        </w:rPr>
        <w:t>Brief Project Description and Goals/Objectives</w:t>
      </w:r>
    </w:p>
    <w:p>
      <w:pPr>
        <w:keepNext w:val="0"/>
        <w:widowControl/>
        <w:spacing w:line="360" w:lineRule="auto" w:before="0" w:after="120"/>
      </w:pPr>
      <w:r>
        <w:rPr>
          <w:rFonts w:ascii="Times New Roman" w:hAnsi="Times New Roman"/>
          <w:b w:val="0"/>
          <w:i w:val="0"/>
          <w:sz w:val="24"/>
        </w:rPr>
        <w:t>The eight-week pilot will survey participants, draft and review the guide and disclosure statement, conduct one workshop, measure participant understanding, and revise the final materials. The project goal is to improve communication about AI use while protecting student originality, authorship, and creative decision-making.</w:t>
      </w:r>
    </w:p>
    <w:p>
      <w:pPr>
        <w:pStyle w:val="ListBullet"/>
        <w:keepNext w:val="0"/>
        <w:widowControl/>
        <w:spacing w:line="360" w:lineRule="auto" w:before="0" w:after="60"/>
      </w:pPr>
      <w:r>
        <w:rPr>
          <w:rFonts w:ascii="Times New Roman" w:hAnsi="Times New Roman"/>
          <w:b/>
          <w:i w:val="0"/>
          <w:sz w:val="24"/>
        </w:rPr>
        <w:t>Objective 1:</w:t>
      </w:r>
      <w:r>
        <w:rPr>
          <w:rFonts w:ascii="Times New Roman" w:hAnsi="Times New Roman"/>
          <w:b w:val="0"/>
          <w:i w:val="0"/>
          <w:sz w:val="24"/>
        </w:rPr>
        <w:t xml:space="preserve"> By the end of Week 2, collect anonymous responses from at least 20 UDC fine arts students and four instructors about current AI use and assignment expectations.</w:t>
      </w:r>
    </w:p>
    <w:p>
      <w:pPr>
        <w:pStyle w:val="ListBullet"/>
        <w:keepNext w:val="0"/>
        <w:widowControl/>
        <w:spacing w:line="360" w:lineRule="auto" w:before="0" w:after="60"/>
      </w:pPr>
      <w:r>
        <w:rPr>
          <w:rFonts w:ascii="Times New Roman" w:hAnsi="Times New Roman"/>
          <w:b/>
          <w:i w:val="0"/>
          <w:sz w:val="24"/>
        </w:rPr>
        <w:t>Objective 2:</w:t>
      </w:r>
      <w:r>
        <w:rPr>
          <w:rFonts w:ascii="Times New Roman" w:hAnsi="Times New Roman"/>
          <w:b w:val="0"/>
          <w:i w:val="0"/>
          <w:sz w:val="24"/>
        </w:rPr>
        <w:t xml:space="preserve"> By the end of Week 4, create a one-page guide defining four AI-use categories and a draft disclosure statement with examples from three fine arts areas.</w:t>
      </w:r>
    </w:p>
    <w:p>
      <w:pPr>
        <w:pStyle w:val="ListBullet"/>
        <w:keepNext w:val="0"/>
        <w:widowControl/>
        <w:spacing w:line="360" w:lineRule="auto" w:before="0" w:after="60"/>
      </w:pPr>
      <w:r>
        <w:rPr>
          <w:rFonts w:ascii="Times New Roman" w:hAnsi="Times New Roman"/>
          <w:b/>
          <w:i w:val="0"/>
          <w:sz w:val="24"/>
        </w:rPr>
        <w:t>Objective 3:</w:t>
      </w:r>
      <w:r>
        <w:rPr>
          <w:rFonts w:ascii="Times New Roman" w:hAnsi="Times New Roman"/>
          <w:b w:val="0"/>
          <w:i w:val="0"/>
          <w:sz w:val="24"/>
        </w:rPr>
        <w:t xml:space="preserve"> During Week 6, conduct one 60-minute workshop for at least 15 participants; at least 80% will correctly evaluate four of five scenarios after the workshop.</w:t>
      </w:r>
    </w:p>
    <w:p>
      <w:pPr>
        <w:pStyle w:val="ListBullet"/>
        <w:keepNext w:val="0"/>
        <w:widowControl/>
        <w:spacing w:line="360" w:lineRule="auto" w:before="0" w:after="60"/>
      </w:pPr>
      <w:r>
        <w:rPr>
          <w:rFonts w:ascii="Times New Roman" w:hAnsi="Times New Roman"/>
          <w:b/>
          <w:i w:val="0"/>
          <w:sz w:val="24"/>
        </w:rPr>
        <w:t>Objective 4:</w:t>
      </w:r>
      <w:r>
        <w:rPr>
          <w:rFonts w:ascii="Times New Roman" w:hAnsi="Times New Roman"/>
          <w:b w:val="0"/>
          <w:i w:val="0"/>
          <w:sz w:val="24"/>
        </w:rPr>
        <w:t xml:space="preserve"> By the end of Week 8, revise the materials using faculty and participant feedback and distribute the final digital guide, disclosure statement, and evaluation summary.</w:t>
      </w:r>
    </w:p>
    <w:p>
      <w:pPr>
        <w:keepNext/>
        <w:widowControl/>
        <w:spacing w:line="360" w:lineRule="auto" w:before="240" w:after="120"/>
      </w:pPr>
      <w:r>
        <w:rPr>
          <w:rFonts w:ascii="Times New Roman" w:hAnsi="Times New Roman"/>
          <w:b/>
          <w:i w:val="0"/>
          <w:color w:val="000000"/>
          <w:sz w:val="24"/>
        </w:rPr>
        <w:t>Project Design</w:t>
      </w:r>
    </w:p>
    <w:tbl>
      <w:tblPr>
        <w:tblStyle w:val="TableGrid"/>
        <w:tblW w:type="dxa" w:w="9360"/>
        <w:jc w:val="left"/>
        <w:tblLayout w:type="fixed"/>
        <w:tblLook w:firstColumn="1" w:firstRow="1" w:lastColumn="0" w:lastRow="0" w:noHBand="0" w:noVBand="1" w:val="04A0"/>
        <w:tblInd w:type="dxa" w:w="120"/>
      </w:tblPr>
      <w:tblGrid>
        <w:gridCol w:w="900"/>
        <w:gridCol w:w="8460"/>
      </w:tblGrid>
      <w:tr>
        <w:trPr>
          <w:cantSplit/>
          <w:tblHeader w:val="true"/>
        </w:trPr>
        <w:tc>
          <w:tcPr>
            <w:tcW w:type="dxa" w:w="900"/>
            <w:vAlign w:val="center"/>
            <w:shd w:fill="FFFFFF"/>
            <w:tcMar>
              <w:top w:w="90" w:type="dxa"/>
              <w:bottom w:w="90" w:type="dxa"/>
              <w:start w:w="120" w:type="dxa"/>
              <w:end w:w="120" w:type="dxa"/>
            </w:tcMar>
          </w:tcPr>
          <w:p>
            <w:pPr>
              <w:keepNext w:val="0"/>
              <w:widowControl/>
              <w:spacing w:line="360" w:lineRule="auto" w:before="0" w:after="0"/>
            </w:pPr>
            <w:r>
              <w:rPr>
                <w:rFonts w:ascii="Times New Roman" w:hAnsi="Times New Roman"/>
                <w:b/>
                <w:i w:val="0"/>
                <w:sz w:val="24"/>
              </w:rPr>
              <w:t>Week</w:t>
            </w:r>
          </w:p>
        </w:tc>
        <w:tc>
          <w:tcPr>
            <w:tcW w:type="dxa" w:w="8460"/>
            <w:vAlign w:val="center"/>
            <w:shd w:fill="FFFFFF"/>
            <w:tcMar>
              <w:top w:w="90" w:type="dxa"/>
              <w:bottom w:w="90" w:type="dxa"/>
              <w:start w:w="120" w:type="dxa"/>
              <w:end w:w="120" w:type="dxa"/>
            </w:tcMar>
          </w:tcPr>
          <w:p>
            <w:pPr>
              <w:keepNext w:val="0"/>
              <w:widowControl/>
              <w:spacing w:line="360" w:lineRule="auto" w:before="0" w:after="0"/>
            </w:pPr>
            <w:r>
              <w:rPr>
                <w:rFonts w:ascii="Times New Roman" w:hAnsi="Times New Roman"/>
                <w:b/>
                <w:i w:val="0"/>
                <w:sz w:val="24"/>
              </w:rPr>
              <w:t>Activity and Evidence</w:t>
            </w:r>
          </w:p>
        </w:tc>
      </w:tr>
      <w:tr>
        <w:trPr>
          <w:cantSplit/>
        </w:trPr>
        <w:tc>
          <w:tcPr>
            <w:tcW w:type="dxa" w:w="900"/>
            <w:vAlign w:val="center"/>
            <w:tcMar>
              <w:top w:w="90" w:type="dxa"/>
              <w:bottom w:w="90" w:type="dxa"/>
              <w:start w:w="120" w:type="dxa"/>
              <w:end w:w="120" w:type="dxa"/>
            </w:tcMar>
          </w:tcPr>
          <w:p>
            <w:pPr>
              <w:keepNext w:val="0"/>
              <w:widowControl/>
              <w:spacing w:line="360" w:lineRule="auto" w:before="0" w:after="0"/>
            </w:pPr>
            <w:r>
              <w:rPr>
                <w:rFonts w:ascii="Times New Roman" w:hAnsi="Times New Roman"/>
                <w:b w:val="0"/>
                <w:i w:val="0"/>
                <w:sz w:val="24"/>
              </w:rPr>
              <w:t>1</w:t>
            </w:r>
          </w:p>
        </w:tc>
        <w:tc>
          <w:tcPr>
            <w:tcW w:type="dxa" w:w="8460"/>
            <w:vAlign w:val="center"/>
            <w:tcMar>
              <w:top w:w="90" w:type="dxa"/>
              <w:bottom w:w="90" w:type="dxa"/>
              <w:start w:w="120" w:type="dxa"/>
              <w:end w:w="120" w:type="dxa"/>
            </w:tcMar>
          </w:tcPr>
          <w:p>
            <w:pPr>
              <w:keepNext w:val="0"/>
              <w:widowControl/>
              <w:spacing w:line="360" w:lineRule="auto" w:before="0" w:after="0"/>
            </w:pPr>
            <w:r>
              <w:rPr>
                <w:rFonts w:ascii="Times New Roman" w:hAnsi="Times New Roman"/>
                <w:b w:val="0"/>
                <w:i w:val="0"/>
                <w:sz w:val="24"/>
              </w:rPr>
              <w:t>Contact proposed partners and prepare an anonymous survey. Evidence: completed survey and invitations.</w:t>
            </w:r>
          </w:p>
        </w:tc>
      </w:tr>
      <w:tr>
        <w:trPr>
          <w:cantSplit/>
        </w:trPr>
        <w:tc>
          <w:tcPr>
            <w:tcW w:type="dxa" w:w="900"/>
            <w:vAlign w:val="center"/>
            <w:tcMar>
              <w:top w:w="90" w:type="dxa"/>
              <w:bottom w:w="90" w:type="dxa"/>
              <w:start w:w="120" w:type="dxa"/>
              <w:end w:w="120" w:type="dxa"/>
            </w:tcMar>
          </w:tcPr>
          <w:p>
            <w:pPr>
              <w:keepNext w:val="0"/>
              <w:widowControl/>
              <w:spacing w:line="360" w:lineRule="auto" w:before="0" w:after="0"/>
            </w:pPr>
            <w:r>
              <w:rPr>
                <w:rFonts w:ascii="Times New Roman" w:hAnsi="Times New Roman"/>
                <w:b w:val="0"/>
                <w:i w:val="0"/>
                <w:sz w:val="24"/>
              </w:rPr>
              <w:t>2</w:t>
            </w:r>
          </w:p>
        </w:tc>
        <w:tc>
          <w:tcPr>
            <w:tcW w:type="dxa" w:w="8460"/>
            <w:vAlign w:val="center"/>
            <w:tcMar>
              <w:top w:w="90" w:type="dxa"/>
              <w:bottom w:w="90" w:type="dxa"/>
              <w:start w:w="120" w:type="dxa"/>
              <w:end w:w="120" w:type="dxa"/>
            </w:tcMar>
          </w:tcPr>
          <w:p>
            <w:pPr>
              <w:keepNext w:val="0"/>
              <w:widowControl/>
              <w:spacing w:line="360" w:lineRule="auto" w:before="0" w:after="0"/>
            </w:pPr>
            <w:r>
              <w:rPr>
                <w:rFonts w:ascii="Times New Roman" w:hAnsi="Times New Roman"/>
                <w:b w:val="0"/>
                <w:i w:val="0"/>
                <w:sz w:val="24"/>
              </w:rPr>
              <w:t>Distribute the survey. Evidence: at least 20 student and four instructor responses.</w:t>
            </w:r>
          </w:p>
        </w:tc>
      </w:tr>
      <w:tr>
        <w:trPr>
          <w:cantSplit/>
        </w:trPr>
        <w:tc>
          <w:tcPr>
            <w:tcW w:type="dxa" w:w="900"/>
            <w:vAlign w:val="center"/>
            <w:tcMar>
              <w:top w:w="90" w:type="dxa"/>
              <w:bottom w:w="90" w:type="dxa"/>
              <w:start w:w="120" w:type="dxa"/>
              <w:end w:w="120" w:type="dxa"/>
            </w:tcMar>
          </w:tcPr>
          <w:p>
            <w:pPr>
              <w:keepNext w:val="0"/>
              <w:widowControl/>
              <w:spacing w:line="360" w:lineRule="auto" w:before="0" w:after="0"/>
            </w:pPr>
            <w:r>
              <w:rPr>
                <w:rFonts w:ascii="Times New Roman" w:hAnsi="Times New Roman"/>
                <w:b w:val="0"/>
                <w:i w:val="0"/>
                <w:sz w:val="24"/>
              </w:rPr>
              <w:t>3</w:t>
            </w:r>
          </w:p>
        </w:tc>
        <w:tc>
          <w:tcPr>
            <w:tcW w:type="dxa" w:w="8460"/>
            <w:vAlign w:val="center"/>
            <w:tcMar>
              <w:top w:w="90" w:type="dxa"/>
              <w:bottom w:w="90" w:type="dxa"/>
              <w:start w:w="120" w:type="dxa"/>
              <w:end w:w="120" w:type="dxa"/>
            </w:tcMar>
          </w:tcPr>
          <w:p>
            <w:pPr>
              <w:keepNext w:val="0"/>
              <w:widowControl/>
              <w:spacing w:line="360" w:lineRule="auto" w:before="0" w:after="0"/>
            </w:pPr>
            <w:r>
              <w:rPr>
                <w:rFonts w:ascii="Times New Roman" w:hAnsi="Times New Roman"/>
                <w:b w:val="0"/>
                <w:i w:val="0"/>
                <w:sz w:val="24"/>
              </w:rPr>
              <w:t>Analyze responses and relevant research. Evidence: one-page findings summary.</w:t>
            </w:r>
          </w:p>
        </w:tc>
      </w:tr>
      <w:tr>
        <w:trPr>
          <w:cantSplit/>
        </w:trPr>
        <w:tc>
          <w:tcPr>
            <w:tcW w:type="dxa" w:w="900"/>
            <w:vAlign w:val="center"/>
            <w:tcMar>
              <w:top w:w="90" w:type="dxa"/>
              <w:bottom w:w="90" w:type="dxa"/>
              <w:start w:w="120" w:type="dxa"/>
              <w:end w:w="120" w:type="dxa"/>
            </w:tcMar>
          </w:tcPr>
          <w:p>
            <w:pPr>
              <w:keepNext w:val="0"/>
              <w:widowControl/>
              <w:spacing w:line="360" w:lineRule="auto" w:before="0" w:after="0"/>
            </w:pPr>
            <w:r>
              <w:rPr>
                <w:rFonts w:ascii="Times New Roman" w:hAnsi="Times New Roman"/>
                <w:b w:val="0"/>
                <w:i w:val="0"/>
                <w:sz w:val="24"/>
              </w:rPr>
              <w:t>4</w:t>
            </w:r>
          </w:p>
        </w:tc>
        <w:tc>
          <w:tcPr>
            <w:tcW w:type="dxa" w:w="8460"/>
            <w:vAlign w:val="center"/>
            <w:tcMar>
              <w:top w:w="90" w:type="dxa"/>
              <w:bottom w:w="90" w:type="dxa"/>
              <w:start w:w="120" w:type="dxa"/>
              <w:end w:w="120" w:type="dxa"/>
            </w:tcMar>
          </w:tcPr>
          <w:p>
            <w:pPr>
              <w:keepNext w:val="0"/>
              <w:widowControl/>
              <w:spacing w:line="360" w:lineRule="auto" w:before="0" w:after="0"/>
            </w:pPr>
            <w:r>
              <w:rPr>
                <w:rFonts w:ascii="Times New Roman" w:hAnsi="Times New Roman"/>
                <w:b w:val="0"/>
                <w:i w:val="0"/>
                <w:sz w:val="24"/>
              </w:rPr>
              <w:t>Draft the four-category guide and disclosure statement. Evidence: two completed drafts.</w:t>
            </w:r>
          </w:p>
        </w:tc>
      </w:tr>
      <w:tr>
        <w:trPr>
          <w:cantSplit/>
        </w:trPr>
        <w:tc>
          <w:tcPr>
            <w:tcW w:type="dxa" w:w="900"/>
            <w:vAlign w:val="center"/>
            <w:tcMar>
              <w:top w:w="90" w:type="dxa"/>
              <w:bottom w:w="90" w:type="dxa"/>
              <w:start w:w="120" w:type="dxa"/>
              <w:end w:w="120" w:type="dxa"/>
            </w:tcMar>
          </w:tcPr>
          <w:p>
            <w:pPr>
              <w:keepNext w:val="0"/>
              <w:widowControl/>
              <w:spacing w:line="360" w:lineRule="auto" w:before="0" w:after="0"/>
            </w:pPr>
            <w:r>
              <w:rPr>
                <w:rFonts w:ascii="Times New Roman" w:hAnsi="Times New Roman"/>
                <w:b w:val="0"/>
                <w:i w:val="0"/>
                <w:sz w:val="24"/>
              </w:rPr>
              <w:t>5</w:t>
            </w:r>
          </w:p>
        </w:tc>
        <w:tc>
          <w:tcPr>
            <w:tcW w:type="dxa" w:w="8460"/>
            <w:vAlign w:val="center"/>
            <w:tcMar>
              <w:top w:w="90" w:type="dxa"/>
              <w:bottom w:w="90" w:type="dxa"/>
              <w:start w:w="120" w:type="dxa"/>
              <w:end w:w="120" w:type="dxa"/>
            </w:tcMar>
          </w:tcPr>
          <w:p>
            <w:pPr>
              <w:keepNext w:val="0"/>
              <w:widowControl/>
              <w:spacing w:line="360" w:lineRule="auto" w:before="0" w:after="0"/>
            </w:pPr>
            <w:r>
              <w:rPr>
                <w:rFonts w:ascii="Times New Roman" w:hAnsi="Times New Roman"/>
                <w:b w:val="0"/>
                <w:i w:val="0"/>
                <w:sz w:val="24"/>
              </w:rPr>
              <w:t>Obtain feedback from at least two Art Program faculty members and one Learning Resources staff member; prepare five workshop scenarios.</w:t>
            </w:r>
          </w:p>
        </w:tc>
      </w:tr>
      <w:tr>
        <w:trPr>
          <w:cantSplit/>
        </w:trPr>
        <w:tc>
          <w:tcPr>
            <w:tcW w:type="dxa" w:w="900"/>
            <w:vAlign w:val="center"/>
            <w:tcMar>
              <w:top w:w="90" w:type="dxa"/>
              <w:bottom w:w="90" w:type="dxa"/>
              <w:start w:w="120" w:type="dxa"/>
              <w:end w:w="120" w:type="dxa"/>
            </w:tcMar>
          </w:tcPr>
          <w:p>
            <w:pPr>
              <w:keepNext w:val="0"/>
              <w:widowControl/>
              <w:spacing w:line="360" w:lineRule="auto" w:before="0" w:after="0"/>
            </w:pPr>
            <w:r>
              <w:rPr>
                <w:rFonts w:ascii="Times New Roman" w:hAnsi="Times New Roman"/>
                <w:b w:val="0"/>
                <w:i w:val="0"/>
                <w:sz w:val="24"/>
              </w:rPr>
              <w:t>6</w:t>
            </w:r>
          </w:p>
        </w:tc>
        <w:tc>
          <w:tcPr>
            <w:tcW w:type="dxa" w:w="8460"/>
            <w:vAlign w:val="center"/>
            <w:tcMar>
              <w:top w:w="90" w:type="dxa"/>
              <w:bottom w:w="90" w:type="dxa"/>
              <w:start w:w="120" w:type="dxa"/>
              <w:end w:w="120" w:type="dxa"/>
            </w:tcMar>
          </w:tcPr>
          <w:p>
            <w:pPr>
              <w:keepNext w:val="0"/>
              <w:widowControl/>
              <w:spacing w:line="360" w:lineRule="auto" w:before="0" w:after="0"/>
            </w:pPr>
            <w:r>
              <w:rPr>
                <w:rFonts w:ascii="Times New Roman" w:hAnsi="Times New Roman"/>
                <w:b w:val="0"/>
                <w:i w:val="0"/>
                <w:sz w:val="24"/>
              </w:rPr>
              <w:t>Conduct the workshop and pre/post questions. Evidence: at least 15 participants and completed responses.</w:t>
            </w:r>
          </w:p>
        </w:tc>
      </w:tr>
      <w:tr>
        <w:trPr>
          <w:cantSplit/>
        </w:trPr>
        <w:tc>
          <w:tcPr>
            <w:tcW w:type="dxa" w:w="900"/>
            <w:vAlign w:val="center"/>
            <w:tcMar>
              <w:top w:w="90" w:type="dxa"/>
              <w:bottom w:w="90" w:type="dxa"/>
              <w:start w:w="120" w:type="dxa"/>
              <w:end w:w="120" w:type="dxa"/>
            </w:tcMar>
          </w:tcPr>
          <w:p>
            <w:pPr>
              <w:keepNext w:val="0"/>
              <w:widowControl/>
              <w:spacing w:line="360" w:lineRule="auto" w:before="0" w:after="0"/>
            </w:pPr>
            <w:r>
              <w:rPr>
                <w:rFonts w:ascii="Times New Roman" w:hAnsi="Times New Roman"/>
                <w:b w:val="0"/>
                <w:i w:val="0"/>
                <w:sz w:val="24"/>
              </w:rPr>
              <w:t>7</w:t>
            </w:r>
          </w:p>
        </w:tc>
        <w:tc>
          <w:tcPr>
            <w:tcW w:type="dxa" w:w="8460"/>
            <w:vAlign w:val="center"/>
            <w:tcMar>
              <w:top w:w="90" w:type="dxa"/>
              <w:bottom w:w="90" w:type="dxa"/>
              <w:start w:w="120" w:type="dxa"/>
              <w:end w:w="120" w:type="dxa"/>
            </w:tcMar>
          </w:tcPr>
          <w:p>
            <w:pPr>
              <w:keepNext w:val="0"/>
              <w:widowControl/>
              <w:spacing w:line="360" w:lineRule="auto" w:before="0" w:after="0"/>
            </w:pPr>
            <w:r>
              <w:rPr>
                <w:rFonts w:ascii="Times New Roman" w:hAnsi="Times New Roman"/>
                <w:b w:val="0"/>
                <w:i w:val="0"/>
                <w:sz w:val="24"/>
              </w:rPr>
              <w:t>Compare results and revise the materials. Evidence: evaluation summary and second drafts.</w:t>
            </w:r>
          </w:p>
        </w:tc>
      </w:tr>
      <w:tr>
        <w:trPr>
          <w:cantSplit/>
        </w:trPr>
        <w:tc>
          <w:tcPr>
            <w:tcW w:type="dxa" w:w="900"/>
            <w:vAlign w:val="center"/>
            <w:tcMar>
              <w:top w:w="90" w:type="dxa"/>
              <w:bottom w:w="90" w:type="dxa"/>
              <w:start w:w="120" w:type="dxa"/>
              <w:end w:w="120" w:type="dxa"/>
            </w:tcMar>
          </w:tcPr>
          <w:p>
            <w:pPr>
              <w:keepNext w:val="0"/>
              <w:widowControl/>
              <w:spacing w:line="360" w:lineRule="auto" w:before="0" w:after="0"/>
            </w:pPr>
            <w:r>
              <w:rPr>
                <w:rFonts w:ascii="Times New Roman" w:hAnsi="Times New Roman"/>
                <w:b w:val="0"/>
                <w:i w:val="0"/>
                <w:sz w:val="24"/>
              </w:rPr>
              <w:t>8</w:t>
            </w:r>
          </w:p>
        </w:tc>
        <w:tc>
          <w:tcPr>
            <w:tcW w:type="dxa" w:w="8460"/>
            <w:vAlign w:val="center"/>
            <w:tcMar>
              <w:top w:w="90" w:type="dxa"/>
              <w:bottom w:w="90" w:type="dxa"/>
              <w:start w:w="120" w:type="dxa"/>
              <w:end w:w="120" w:type="dxa"/>
            </w:tcMar>
          </w:tcPr>
          <w:p>
            <w:pPr>
              <w:keepNext w:val="0"/>
              <w:widowControl/>
              <w:spacing w:line="360" w:lineRule="auto" w:before="0" w:after="0"/>
            </w:pPr>
            <w:r>
              <w:rPr>
                <w:rFonts w:ascii="Times New Roman" w:hAnsi="Times New Roman"/>
                <w:b w:val="0"/>
                <w:i w:val="0"/>
                <w:sz w:val="24"/>
              </w:rPr>
              <w:t>Distribute final materials and recommendations to participants and proposed partners.</w:t>
            </w:r>
          </w:p>
        </w:tc>
      </w:tr>
    </w:tbl>
    <w:p>
      <w:pPr>
        <w:keepNext w:val="0"/>
        <w:widowControl/>
        <w:spacing w:line="360" w:lineRule="auto" w:before="0" w:after="0"/>
      </w:pPr>
    </w:p>
    <w:p>
      <w:pPr>
        <w:keepNext w:val="0"/>
        <w:widowControl/>
        <w:spacing w:line="360" w:lineRule="auto" w:before="0" w:after="120"/>
      </w:pPr>
      <w:r>
        <w:rPr>
          <w:rFonts w:ascii="Times New Roman" w:hAnsi="Times New Roman"/>
          <w:b w:val="0"/>
          <w:i w:val="0"/>
          <w:sz w:val="24"/>
        </w:rPr>
        <w:t>Participation will be voluntary, and the survey will not request names or sensitive personal information. Success will be measured through response totals, faculty feedback, scenario scores, and completion of the final materials. If recruitment is lower than expected, the workshop can be tested in one fine arts class or critique group.</w:t>
      </w:r>
    </w:p>
    <w:p>
      <w:pPr>
        <w:keepNext/>
        <w:pageBreakBefore/>
        <w:widowControl/>
        <w:spacing w:line="360" w:lineRule="auto" w:before="240" w:after="120"/>
      </w:pPr>
      <w:r>
        <w:rPr>
          <w:rFonts w:ascii="Times New Roman" w:hAnsi="Times New Roman"/>
          <w:b/>
          <w:i w:val="0"/>
          <w:color w:val="000000"/>
          <w:sz w:val="24"/>
        </w:rPr>
        <w:t>Resources and Budget</w:t>
      </w:r>
    </w:p>
    <w:p>
      <w:pPr>
        <w:keepNext w:val="0"/>
        <w:widowControl/>
        <w:spacing w:line="360" w:lineRule="auto" w:before="0" w:after="120"/>
      </w:pPr>
      <w:r>
        <w:rPr>
          <w:rFonts w:ascii="Times New Roman" w:hAnsi="Times New Roman"/>
          <w:b w:val="0"/>
          <w:i w:val="0"/>
          <w:sz w:val="24"/>
        </w:rPr>
        <w:t>The project would require cooperation from UDC Art Program faculty, the Learning Resources Division, student participants, and access to a classroom, projector, email, and an online survey tool. The Art Program would review discipline-specific examples and help identify an appropriate class, critique group, or student audience for the workshop. The Learning Resources Division would help check the AI literacy, citation, and disclosure language, while student volunteers would test whether the guide is understandable from a learner's perspective. Possible financial support could come from the Art Program, a student organization, the Learning Resources Division, or a small campus programming fund. Most resources are available as in-kind university support.</w:t>
      </w:r>
    </w:p>
    <w:tbl>
      <w:tblPr>
        <w:tblStyle w:val="TableGrid"/>
        <w:tblW w:type="dxa" w:w="9360"/>
        <w:jc w:val="left"/>
        <w:tblLayout w:type="fixed"/>
        <w:tblLook w:firstColumn="1" w:firstRow="1" w:lastColumn="0" w:lastRow="0" w:noHBand="0" w:noVBand="1" w:val="04A0"/>
        <w:tblInd w:type="dxa" w:w="120"/>
      </w:tblPr>
      <w:tblGrid>
        <w:gridCol w:w="3800"/>
        <w:gridCol w:w="3600"/>
        <w:gridCol w:w="1960"/>
      </w:tblGrid>
      <w:tr>
        <w:trPr>
          <w:cantSplit/>
          <w:tblHeader w:val="true"/>
        </w:trPr>
        <w:tc>
          <w:tcPr>
            <w:tcW w:type="dxa" w:w="3800"/>
            <w:vAlign w:val="center"/>
            <w:shd w:fill="FFFFFF"/>
            <w:tcMar>
              <w:top w:w="90" w:type="dxa"/>
              <w:bottom w:w="90" w:type="dxa"/>
              <w:start w:w="120" w:type="dxa"/>
              <w:end w:w="120" w:type="dxa"/>
            </w:tcMar>
          </w:tcPr>
          <w:p>
            <w:pPr>
              <w:keepNext w:val="0"/>
              <w:widowControl/>
              <w:spacing w:line="360" w:lineRule="auto" w:before="0" w:after="0"/>
            </w:pPr>
            <w:r>
              <w:rPr>
                <w:rFonts w:ascii="Times New Roman" w:hAnsi="Times New Roman"/>
                <w:b/>
                <w:i w:val="0"/>
                <w:sz w:val="24"/>
              </w:rPr>
              <w:t>Resource</w:t>
            </w:r>
          </w:p>
        </w:tc>
        <w:tc>
          <w:tcPr>
            <w:tcW w:type="dxa" w:w="3600"/>
            <w:vAlign w:val="center"/>
            <w:shd w:fill="FFFFFF"/>
            <w:tcMar>
              <w:top w:w="90" w:type="dxa"/>
              <w:bottom w:w="90" w:type="dxa"/>
              <w:start w:w="120" w:type="dxa"/>
              <w:end w:w="120" w:type="dxa"/>
            </w:tcMar>
          </w:tcPr>
          <w:p>
            <w:pPr>
              <w:keepNext w:val="0"/>
              <w:widowControl/>
              <w:spacing w:line="360" w:lineRule="auto" w:before="0" w:after="0"/>
            </w:pPr>
            <w:r>
              <w:rPr>
                <w:rFonts w:ascii="Times New Roman" w:hAnsi="Times New Roman"/>
                <w:b/>
                <w:i w:val="0"/>
                <w:sz w:val="24"/>
              </w:rPr>
              <w:t>Calculation</w:t>
            </w:r>
          </w:p>
        </w:tc>
        <w:tc>
          <w:tcPr>
            <w:tcW w:type="dxa" w:w="1960"/>
            <w:vAlign w:val="center"/>
            <w:shd w:fill="FFFFFF"/>
            <w:tcMar>
              <w:top w:w="90" w:type="dxa"/>
              <w:bottom w:w="90" w:type="dxa"/>
              <w:start w:w="120" w:type="dxa"/>
              <w:end w:w="120" w:type="dxa"/>
            </w:tcMar>
          </w:tcPr>
          <w:p>
            <w:pPr>
              <w:keepNext w:val="0"/>
              <w:widowControl/>
              <w:spacing w:line="360" w:lineRule="auto" w:before="0" w:after="0"/>
            </w:pPr>
            <w:r>
              <w:rPr>
                <w:rFonts w:ascii="Times New Roman" w:hAnsi="Times New Roman"/>
                <w:b/>
                <w:i w:val="0"/>
                <w:sz w:val="24"/>
              </w:rPr>
              <w:t>Cost</w:t>
            </w:r>
          </w:p>
        </w:tc>
      </w:tr>
      <w:tr>
        <w:trPr>
          <w:cantSplit/>
        </w:trPr>
        <w:tc>
          <w:tcPr>
            <w:tcW w:type="dxa" w:w="3800"/>
            <w:vAlign w:val="center"/>
            <w:tcMar>
              <w:top w:w="90" w:type="dxa"/>
              <w:bottom w:w="90" w:type="dxa"/>
              <w:start w:w="120" w:type="dxa"/>
              <w:end w:w="120" w:type="dxa"/>
            </w:tcMar>
          </w:tcPr>
          <w:p>
            <w:pPr>
              <w:keepNext w:val="0"/>
              <w:widowControl/>
              <w:spacing w:line="360" w:lineRule="auto" w:before="0" w:after="0"/>
            </w:pPr>
            <w:r>
              <w:rPr>
                <w:rFonts w:ascii="Times New Roman" w:hAnsi="Times New Roman"/>
                <w:b w:val="0"/>
                <w:i w:val="0"/>
                <w:sz w:val="24"/>
              </w:rPr>
              <w:t>Printed pilot guides</w:t>
            </w:r>
          </w:p>
        </w:tc>
        <w:tc>
          <w:tcPr>
            <w:tcW w:type="dxa" w:w="3600"/>
            <w:vAlign w:val="center"/>
            <w:tcMar>
              <w:top w:w="90" w:type="dxa"/>
              <w:bottom w:w="90" w:type="dxa"/>
              <w:start w:w="120" w:type="dxa"/>
              <w:end w:w="120" w:type="dxa"/>
            </w:tcMar>
          </w:tcPr>
          <w:p>
            <w:pPr>
              <w:keepNext w:val="0"/>
              <w:widowControl/>
              <w:spacing w:line="360" w:lineRule="auto" w:before="0" w:after="0"/>
            </w:pPr>
            <w:r>
              <w:rPr>
                <w:rFonts w:ascii="Times New Roman" w:hAnsi="Times New Roman"/>
                <w:b w:val="0"/>
                <w:i w:val="0"/>
                <w:sz w:val="24"/>
              </w:rPr>
              <w:t>40 double-sided copies x $0.30</w:t>
            </w:r>
          </w:p>
        </w:tc>
        <w:tc>
          <w:tcPr>
            <w:tcW w:type="dxa" w:w="1960"/>
            <w:vAlign w:val="center"/>
            <w:tcMar>
              <w:top w:w="90" w:type="dxa"/>
              <w:bottom w:w="90" w:type="dxa"/>
              <w:start w:w="120" w:type="dxa"/>
              <w:end w:w="120" w:type="dxa"/>
            </w:tcMar>
          </w:tcPr>
          <w:p>
            <w:pPr>
              <w:keepNext w:val="0"/>
              <w:widowControl/>
              <w:spacing w:line="360" w:lineRule="auto" w:before="0" w:after="0"/>
            </w:pPr>
            <w:r>
              <w:rPr>
                <w:rFonts w:ascii="Times New Roman" w:hAnsi="Times New Roman"/>
                <w:b w:val="0"/>
                <w:i w:val="0"/>
                <w:sz w:val="24"/>
              </w:rPr>
              <w:t>$12.00</w:t>
            </w:r>
          </w:p>
        </w:tc>
      </w:tr>
      <w:tr>
        <w:trPr>
          <w:cantSplit/>
        </w:trPr>
        <w:tc>
          <w:tcPr>
            <w:tcW w:type="dxa" w:w="3800"/>
            <w:vAlign w:val="center"/>
            <w:tcMar>
              <w:top w:w="90" w:type="dxa"/>
              <w:bottom w:w="90" w:type="dxa"/>
              <w:start w:w="120" w:type="dxa"/>
              <w:end w:w="120" w:type="dxa"/>
            </w:tcMar>
          </w:tcPr>
          <w:p>
            <w:pPr>
              <w:keepNext w:val="0"/>
              <w:widowControl/>
              <w:spacing w:line="360" w:lineRule="auto" w:before="0" w:after="0"/>
            </w:pPr>
            <w:r>
              <w:rPr>
                <w:rFonts w:ascii="Times New Roman" w:hAnsi="Times New Roman"/>
                <w:b w:val="0"/>
                <w:i w:val="0"/>
                <w:sz w:val="24"/>
              </w:rPr>
              <w:t>Workshop posters</w:t>
            </w:r>
          </w:p>
        </w:tc>
        <w:tc>
          <w:tcPr>
            <w:tcW w:type="dxa" w:w="3600"/>
            <w:vAlign w:val="center"/>
            <w:tcMar>
              <w:top w:w="90" w:type="dxa"/>
              <w:bottom w:w="90" w:type="dxa"/>
              <w:start w:w="120" w:type="dxa"/>
              <w:end w:w="120" w:type="dxa"/>
            </w:tcMar>
          </w:tcPr>
          <w:p>
            <w:pPr>
              <w:keepNext w:val="0"/>
              <w:widowControl/>
              <w:spacing w:line="360" w:lineRule="auto" w:before="0" w:after="0"/>
            </w:pPr>
            <w:r>
              <w:rPr>
                <w:rFonts w:ascii="Times New Roman" w:hAnsi="Times New Roman"/>
                <w:b w:val="0"/>
                <w:i w:val="0"/>
                <w:sz w:val="24"/>
              </w:rPr>
              <w:t>2 color posters x $8.00</w:t>
            </w:r>
          </w:p>
        </w:tc>
        <w:tc>
          <w:tcPr>
            <w:tcW w:type="dxa" w:w="1960"/>
            <w:vAlign w:val="center"/>
            <w:tcMar>
              <w:top w:w="90" w:type="dxa"/>
              <w:bottom w:w="90" w:type="dxa"/>
              <w:start w:w="120" w:type="dxa"/>
              <w:end w:w="120" w:type="dxa"/>
            </w:tcMar>
          </w:tcPr>
          <w:p>
            <w:pPr>
              <w:keepNext w:val="0"/>
              <w:widowControl/>
              <w:spacing w:line="360" w:lineRule="auto" w:before="0" w:after="0"/>
            </w:pPr>
            <w:r>
              <w:rPr>
                <w:rFonts w:ascii="Times New Roman" w:hAnsi="Times New Roman"/>
                <w:b w:val="0"/>
                <w:i w:val="0"/>
                <w:sz w:val="24"/>
              </w:rPr>
              <w:t>$16.00</w:t>
            </w:r>
          </w:p>
        </w:tc>
      </w:tr>
      <w:tr>
        <w:trPr>
          <w:cantSplit/>
        </w:trPr>
        <w:tc>
          <w:tcPr>
            <w:tcW w:type="dxa" w:w="3800"/>
            <w:vAlign w:val="center"/>
            <w:tcMar>
              <w:top w:w="90" w:type="dxa"/>
              <w:bottom w:w="90" w:type="dxa"/>
              <w:start w:w="120" w:type="dxa"/>
              <w:end w:w="120" w:type="dxa"/>
            </w:tcMar>
          </w:tcPr>
          <w:p>
            <w:pPr>
              <w:keepNext w:val="0"/>
              <w:widowControl/>
              <w:spacing w:line="360" w:lineRule="auto" w:before="0" w:after="0"/>
            </w:pPr>
            <w:r>
              <w:rPr>
                <w:rFonts w:ascii="Times New Roman" w:hAnsi="Times New Roman"/>
                <w:b w:val="0"/>
                <w:i w:val="0"/>
                <w:sz w:val="24"/>
              </w:rPr>
              <w:t>Sticky notes and markers</w:t>
            </w:r>
          </w:p>
        </w:tc>
        <w:tc>
          <w:tcPr>
            <w:tcW w:type="dxa" w:w="3600"/>
            <w:vAlign w:val="center"/>
            <w:tcMar>
              <w:top w:w="90" w:type="dxa"/>
              <w:bottom w:w="90" w:type="dxa"/>
              <w:start w:w="120" w:type="dxa"/>
              <w:end w:w="120" w:type="dxa"/>
            </w:tcMar>
          </w:tcPr>
          <w:p>
            <w:pPr>
              <w:keepNext w:val="0"/>
              <w:widowControl/>
              <w:spacing w:line="360" w:lineRule="auto" w:before="0" w:after="0"/>
            </w:pPr>
            <w:r>
              <w:rPr>
                <w:rFonts w:ascii="Times New Roman" w:hAnsi="Times New Roman"/>
                <w:b w:val="0"/>
                <w:i w:val="0"/>
                <w:sz w:val="24"/>
              </w:rPr>
              <w:t>One workshop set</w:t>
            </w:r>
          </w:p>
        </w:tc>
        <w:tc>
          <w:tcPr>
            <w:tcW w:type="dxa" w:w="1960"/>
            <w:vAlign w:val="center"/>
            <w:tcMar>
              <w:top w:w="90" w:type="dxa"/>
              <w:bottom w:w="90" w:type="dxa"/>
              <w:start w:w="120" w:type="dxa"/>
              <w:end w:w="120" w:type="dxa"/>
            </w:tcMar>
          </w:tcPr>
          <w:p>
            <w:pPr>
              <w:keepNext w:val="0"/>
              <w:widowControl/>
              <w:spacing w:line="360" w:lineRule="auto" w:before="0" w:after="0"/>
            </w:pPr>
            <w:r>
              <w:rPr>
                <w:rFonts w:ascii="Times New Roman" w:hAnsi="Times New Roman"/>
                <w:b w:val="0"/>
                <w:i w:val="0"/>
                <w:sz w:val="24"/>
              </w:rPr>
              <w:t>$15.00</w:t>
            </w:r>
          </w:p>
        </w:tc>
      </w:tr>
      <w:tr>
        <w:trPr>
          <w:cantSplit/>
        </w:trPr>
        <w:tc>
          <w:tcPr>
            <w:tcW w:type="dxa" w:w="3800"/>
            <w:vAlign w:val="center"/>
            <w:tcMar>
              <w:top w:w="90" w:type="dxa"/>
              <w:bottom w:w="90" w:type="dxa"/>
              <w:start w:w="120" w:type="dxa"/>
              <w:end w:w="120" w:type="dxa"/>
            </w:tcMar>
          </w:tcPr>
          <w:p>
            <w:pPr>
              <w:keepNext w:val="0"/>
              <w:widowControl/>
              <w:spacing w:line="360" w:lineRule="auto" w:before="0" w:after="0"/>
            </w:pPr>
            <w:r>
              <w:rPr>
                <w:rFonts w:ascii="Times New Roman" w:hAnsi="Times New Roman"/>
                <w:b w:val="0"/>
                <w:i w:val="0"/>
                <w:sz w:val="24"/>
              </w:rPr>
              <w:t>Optional refreshments</w:t>
            </w:r>
          </w:p>
        </w:tc>
        <w:tc>
          <w:tcPr>
            <w:tcW w:type="dxa" w:w="3600"/>
            <w:vAlign w:val="center"/>
            <w:tcMar>
              <w:top w:w="90" w:type="dxa"/>
              <w:bottom w:w="90" w:type="dxa"/>
              <w:start w:w="120" w:type="dxa"/>
              <w:end w:w="120" w:type="dxa"/>
            </w:tcMar>
          </w:tcPr>
          <w:p>
            <w:pPr>
              <w:keepNext w:val="0"/>
              <w:widowControl/>
              <w:spacing w:line="360" w:lineRule="auto" w:before="0" w:after="0"/>
            </w:pPr>
            <w:r>
              <w:rPr>
                <w:rFonts w:ascii="Times New Roman" w:hAnsi="Times New Roman"/>
                <w:b w:val="0"/>
                <w:i w:val="0"/>
                <w:sz w:val="24"/>
              </w:rPr>
              <w:t>20 participants x $3.00</w:t>
            </w:r>
          </w:p>
        </w:tc>
        <w:tc>
          <w:tcPr>
            <w:tcW w:type="dxa" w:w="1960"/>
            <w:vAlign w:val="center"/>
            <w:tcMar>
              <w:top w:w="90" w:type="dxa"/>
              <w:bottom w:w="90" w:type="dxa"/>
              <w:start w:w="120" w:type="dxa"/>
              <w:end w:w="120" w:type="dxa"/>
            </w:tcMar>
          </w:tcPr>
          <w:p>
            <w:pPr>
              <w:keepNext w:val="0"/>
              <w:widowControl/>
              <w:spacing w:line="360" w:lineRule="auto" w:before="0" w:after="0"/>
            </w:pPr>
            <w:r>
              <w:rPr>
                <w:rFonts w:ascii="Times New Roman" w:hAnsi="Times New Roman"/>
                <w:b w:val="0"/>
                <w:i w:val="0"/>
                <w:sz w:val="24"/>
              </w:rPr>
              <w:t>$60.00</w:t>
            </w:r>
          </w:p>
        </w:tc>
      </w:tr>
      <w:tr>
        <w:trPr>
          <w:cantSplit/>
        </w:trPr>
        <w:tc>
          <w:tcPr>
            <w:tcW w:type="dxa" w:w="3800"/>
            <w:vAlign w:val="center"/>
            <w:tcMar>
              <w:top w:w="90" w:type="dxa"/>
              <w:bottom w:w="90" w:type="dxa"/>
              <w:start w:w="120" w:type="dxa"/>
              <w:end w:w="120" w:type="dxa"/>
            </w:tcMar>
          </w:tcPr>
          <w:p>
            <w:pPr>
              <w:keepNext w:val="0"/>
              <w:widowControl/>
              <w:spacing w:line="360" w:lineRule="auto" w:before="0" w:after="0"/>
            </w:pPr>
            <w:r>
              <w:rPr>
                <w:rFonts w:ascii="Times New Roman" w:hAnsi="Times New Roman"/>
                <w:b w:val="0"/>
                <w:i w:val="0"/>
                <w:sz w:val="24"/>
              </w:rPr>
              <w:t>Contingency</w:t>
            </w:r>
          </w:p>
        </w:tc>
        <w:tc>
          <w:tcPr>
            <w:tcW w:type="dxa" w:w="3600"/>
            <w:vAlign w:val="center"/>
            <w:tcMar>
              <w:top w:w="90" w:type="dxa"/>
              <w:bottom w:w="90" w:type="dxa"/>
              <w:start w:w="120" w:type="dxa"/>
              <w:end w:w="120" w:type="dxa"/>
            </w:tcMar>
          </w:tcPr>
          <w:p>
            <w:pPr>
              <w:keepNext w:val="0"/>
              <w:widowControl/>
              <w:spacing w:line="360" w:lineRule="auto" w:before="0" w:after="0"/>
            </w:pPr>
            <w:r>
              <w:rPr>
                <w:rFonts w:ascii="Times New Roman" w:hAnsi="Times New Roman"/>
                <w:b w:val="0"/>
                <w:i w:val="0"/>
                <w:sz w:val="24"/>
              </w:rPr>
              <w:t>Printing or supply allowance</w:t>
            </w:r>
          </w:p>
        </w:tc>
        <w:tc>
          <w:tcPr>
            <w:tcW w:type="dxa" w:w="1960"/>
            <w:vAlign w:val="center"/>
            <w:tcMar>
              <w:top w:w="90" w:type="dxa"/>
              <w:bottom w:w="90" w:type="dxa"/>
              <w:start w:w="120" w:type="dxa"/>
              <w:end w:w="120" w:type="dxa"/>
            </w:tcMar>
          </w:tcPr>
          <w:p>
            <w:pPr>
              <w:keepNext w:val="0"/>
              <w:widowControl/>
              <w:spacing w:line="360" w:lineRule="auto" w:before="0" w:after="0"/>
            </w:pPr>
            <w:r>
              <w:rPr>
                <w:rFonts w:ascii="Times New Roman" w:hAnsi="Times New Roman"/>
                <w:b w:val="0"/>
                <w:i w:val="0"/>
                <w:sz w:val="24"/>
              </w:rPr>
              <w:t>$10.00</w:t>
            </w:r>
          </w:p>
        </w:tc>
      </w:tr>
      <w:tr>
        <w:trPr>
          <w:cantSplit/>
        </w:trPr>
        <w:tc>
          <w:tcPr>
            <w:tcW w:type="dxa" w:w="3800"/>
            <w:vAlign w:val="center"/>
            <w:tcMar>
              <w:top w:w="90" w:type="dxa"/>
              <w:bottom w:w="90" w:type="dxa"/>
              <w:start w:w="120" w:type="dxa"/>
              <w:end w:w="120" w:type="dxa"/>
            </w:tcMar>
          </w:tcPr>
          <w:p>
            <w:pPr>
              <w:keepNext w:val="0"/>
              <w:widowControl/>
              <w:spacing w:line="360" w:lineRule="auto" w:before="0" w:after="0"/>
            </w:pPr>
            <w:r>
              <w:rPr>
                <w:rFonts w:ascii="Times New Roman" w:hAnsi="Times New Roman"/>
                <w:b/>
                <w:i w:val="0"/>
                <w:sz w:val="24"/>
              </w:rPr>
              <w:t>Total</w:t>
            </w:r>
          </w:p>
        </w:tc>
        <w:tc>
          <w:tcPr>
            <w:tcW w:type="dxa" w:w="3600"/>
            <w:vAlign w:val="center"/>
            <w:tcMar>
              <w:top w:w="90" w:type="dxa"/>
              <w:bottom w:w="90" w:type="dxa"/>
              <w:start w:w="120" w:type="dxa"/>
              <w:end w:w="120" w:type="dxa"/>
            </w:tcMar>
          </w:tcPr>
          <w:p>
            <w:pPr>
              <w:keepNext w:val="0"/>
              <w:widowControl/>
              <w:spacing w:line="360" w:lineRule="auto" w:before="0" w:after="0"/>
            </w:pPr>
          </w:p>
        </w:tc>
        <w:tc>
          <w:tcPr>
            <w:tcW w:type="dxa" w:w="1960"/>
            <w:vAlign w:val="center"/>
            <w:tcMar>
              <w:top w:w="90" w:type="dxa"/>
              <w:bottom w:w="90" w:type="dxa"/>
              <w:start w:w="120" w:type="dxa"/>
              <w:end w:w="120" w:type="dxa"/>
            </w:tcMar>
          </w:tcPr>
          <w:p>
            <w:pPr>
              <w:keepNext w:val="0"/>
              <w:widowControl/>
              <w:spacing w:line="360" w:lineRule="auto" w:before="0" w:after="0"/>
            </w:pPr>
            <w:r>
              <w:rPr>
                <w:rFonts w:ascii="Times New Roman" w:hAnsi="Times New Roman"/>
                <w:b/>
                <w:i w:val="0"/>
                <w:sz w:val="24"/>
              </w:rPr>
              <w:t>$113.00</w:t>
            </w:r>
          </w:p>
        </w:tc>
      </w:tr>
    </w:tbl>
    <w:p>
      <w:pPr>
        <w:keepNext w:val="0"/>
        <w:widowControl/>
        <w:spacing w:line="360" w:lineRule="auto" w:before="0" w:after="0"/>
      </w:pPr>
    </w:p>
    <w:p>
      <w:pPr>
        <w:keepNext w:val="0"/>
        <w:widowControl/>
        <w:spacing w:line="360" w:lineRule="auto" w:before="0" w:after="120"/>
      </w:pPr>
      <w:r>
        <w:rPr>
          <w:rFonts w:ascii="Times New Roman" w:hAnsi="Times New Roman"/>
          <w:b w:val="0"/>
          <w:i w:val="0"/>
          <w:sz w:val="24"/>
        </w:rPr>
        <w:t>The project can be completed without refreshments if funding is unavailable, reducing the cash requirement to $53.00. Classroom space, faculty review, projector use, survey software, and digital distribution would be requested as in-kind support.</w:t>
      </w:r>
    </w:p>
    <w:p>
      <w:pPr>
        <w:keepNext/>
        <w:pageBreakBefore/>
        <w:widowControl/>
        <w:spacing w:line="360" w:lineRule="auto" w:before="240" w:after="120"/>
        <w:jc w:val="center"/>
      </w:pPr>
      <w:r>
        <w:rPr>
          <w:rFonts w:ascii="Times New Roman" w:hAnsi="Times New Roman"/>
          <w:b/>
          <w:i w:val="0"/>
          <w:color w:val="000000"/>
          <w:sz w:val="24"/>
        </w:rPr>
        <w:t>References</w:t>
      </w:r>
    </w:p>
    <w:p>
      <w:pPr>
        <w:keepNext w:val="0"/>
        <w:widowControl/>
        <w:spacing w:line="360" w:lineRule="auto" w:before="0" w:after="120"/>
        <w:ind w:left="720" w:hanging="720"/>
      </w:pPr>
      <w:r>
        <w:rPr>
          <w:rFonts w:ascii="Times New Roman" w:hAnsi="Times New Roman"/>
          <w:b w:val="0"/>
          <w:i w:val="0"/>
          <w:sz w:val="24"/>
        </w:rPr>
        <w:t xml:space="preserve">Basty, R., Kropczynski, J., &amp; Halse, S. (2025). Exploring higher education faculty insights on generative AI in creative courses. </w:t>
      </w:r>
      <w:r>
        <w:rPr>
          <w:rFonts w:ascii="Times New Roman" w:hAnsi="Times New Roman"/>
          <w:b w:val="0"/>
          <w:i/>
          <w:sz w:val="24"/>
        </w:rPr>
        <w:t>Journal of Information Technology Education: Research, 24</w:t>
      </w:r>
      <w:r>
        <w:rPr>
          <w:rFonts w:ascii="Times New Roman" w:hAnsi="Times New Roman"/>
          <w:b w:val="0"/>
          <w:i w:val="0"/>
          <w:sz w:val="24"/>
        </w:rPr>
        <w:t xml:space="preserve">, Article 18. </w:t>
      </w:r>
      <w:hyperlink r:id="rId11">
        <w:r>
          <w:rPr>
            <w:rFonts w:ascii="Times New Roman" w:hAnsi="Times New Roman"/>
            <w:sz w:val="24"/>
            <w:szCs w:val="24"/>
            <w:color w:val="000000"/>
            <w:u w:val="none"/>
          </w:rPr>
          <w:t>https://doi.org/10.28945/5546</w:t>
        </w:r>
      </w:hyperlink>
    </w:p>
    <w:p>
      <w:pPr>
        <w:keepNext w:val="0"/>
        <w:widowControl/>
        <w:spacing w:line="360" w:lineRule="auto" w:before="0" w:after="120"/>
        <w:ind w:left="720" w:hanging="720"/>
      </w:pPr>
      <w:r>
        <w:rPr>
          <w:rFonts w:ascii="Times New Roman" w:hAnsi="Times New Roman"/>
          <w:b w:val="0"/>
          <w:i w:val="0"/>
          <w:sz w:val="24"/>
        </w:rPr>
        <w:t xml:space="preserve">University of the District of Columbia, Learning Resources Division. (2026, August 5). </w:t>
      </w:r>
      <w:r>
        <w:rPr>
          <w:rFonts w:ascii="Times New Roman" w:hAnsi="Times New Roman"/>
          <w:b w:val="0"/>
          <w:i/>
          <w:sz w:val="24"/>
        </w:rPr>
        <w:t>Artificial intelligence (AI) help guide: Home</w:t>
      </w:r>
      <w:r>
        <w:rPr>
          <w:rFonts w:ascii="Times New Roman" w:hAnsi="Times New Roman"/>
          <w:b w:val="0"/>
          <w:i w:val="0"/>
          <w:sz w:val="24"/>
        </w:rPr>
        <w:t xml:space="preserve">. </w:t>
      </w:r>
      <w:hyperlink r:id="rId12">
        <w:r>
          <w:rPr>
            <w:rFonts w:ascii="Times New Roman" w:hAnsi="Times New Roman"/>
            <w:sz w:val="24"/>
            <w:szCs w:val="24"/>
            <w:color w:val="000000"/>
            <w:u w:val="none"/>
          </w:rPr>
          <w:t>https://udc.libguides.com/ai/home</w:t>
        </w:r>
      </w:hyperlink>
    </w:p>
    <w:p>
      <w:pPr>
        <w:keepNext w:val="0"/>
        <w:widowControl/>
        <w:spacing w:line="360" w:lineRule="auto" w:before="0" w:after="120"/>
        <w:ind w:left="720" w:hanging="720"/>
      </w:pPr>
      <w:r>
        <w:rPr>
          <w:rFonts w:ascii="Times New Roman" w:hAnsi="Times New Roman"/>
          <w:b w:val="0"/>
          <w:i w:val="0"/>
          <w:sz w:val="24"/>
        </w:rPr>
        <w:t xml:space="preserve">Office of the Chief Technology Officer. (2026, February 12). </w:t>
      </w:r>
      <w:r>
        <w:rPr>
          <w:rFonts w:ascii="Times New Roman" w:hAnsi="Times New Roman"/>
          <w:b w:val="0"/>
          <w:i/>
          <w:sz w:val="24"/>
        </w:rPr>
        <w:t>DC becomes first major U.S. city to require responsible AI training for government workforce</w:t>
      </w:r>
      <w:r>
        <w:rPr>
          <w:rFonts w:ascii="Times New Roman" w:hAnsi="Times New Roman"/>
          <w:b w:val="0"/>
          <w:i w:val="0"/>
          <w:sz w:val="24"/>
        </w:rPr>
        <w:t xml:space="preserve">. DC.gov. </w:t>
      </w:r>
      <w:hyperlink r:id="rId13">
        <w:r>
          <w:rPr>
            <w:rFonts w:ascii="Times New Roman" w:hAnsi="Times New Roman"/>
            <w:sz w:val="24"/>
            <w:szCs w:val="24"/>
            <w:color w:val="000000"/>
            <w:u w:val="none"/>
          </w:rPr>
          <w:t>https://octo.dc.gov/release/dc-becomes-first-major-us-city-require-responsible-ai-training-government-workforce</w:t>
        </w:r>
      </w:hyperlink>
    </w:p>
    <w:p>
      <w:pPr>
        <w:keepNext w:val="0"/>
        <w:widowControl/>
        <w:spacing w:line="360" w:lineRule="auto" w:before="0" w:after="120"/>
        <w:ind w:left="720" w:hanging="720"/>
      </w:pPr>
      <w:r>
        <w:rPr>
          <w:rFonts w:ascii="Times New Roman" w:hAnsi="Times New Roman"/>
          <w:b w:val="0"/>
          <w:i w:val="0"/>
          <w:sz w:val="24"/>
        </w:rPr>
        <w:t xml:space="preserve">Perkins, M., Furze, L., Roe, J., &amp; MacVaugh, J. (2024). The artificial intelligence assessment scale (AIAS): A framework for ethical integration of generative AI in educational assessment. </w:t>
      </w:r>
      <w:r>
        <w:rPr>
          <w:rFonts w:ascii="Times New Roman" w:hAnsi="Times New Roman"/>
          <w:b w:val="0"/>
          <w:i/>
          <w:sz w:val="24"/>
        </w:rPr>
        <w:t>Journal of University Teaching and Learning Practice, 21</w:t>
      </w:r>
      <w:r>
        <w:rPr>
          <w:rFonts w:ascii="Times New Roman" w:hAnsi="Times New Roman"/>
          <w:b w:val="0"/>
          <w:i w:val="0"/>
          <w:sz w:val="24"/>
        </w:rPr>
        <w:t xml:space="preserve">(6), Article e810. </w:t>
      </w:r>
      <w:hyperlink r:id="rId14">
        <w:r>
          <w:rPr>
            <w:rFonts w:ascii="Times New Roman" w:hAnsi="Times New Roman"/>
            <w:sz w:val="24"/>
            <w:szCs w:val="24"/>
            <w:color w:val="000000"/>
            <w:u w:val="none"/>
          </w:rPr>
          <w:t>https://doi.org/10.53761/q3azde36</w:t>
        </w:r>
      </w:hyperlink>
    </w:p>
    <w:p>
      <w:pPr>
        <w:keepNext w:val="0"/>
        <w:widowControl/>
        <w:spacing w:line="360" w:lineRule="auto" w:before="0" w:after="120"/>
        <w:ind w:left="720" w:hanging="720"/>
      </w:pPr>
      <w:r>
        <w:rPr>
          <w:rFonts w:ascii="Times New Roman" w:hAnsi="Times New Roman"/>
          <w:b w:val="0"/>
          <w:i w:val="0"/>
          <w:sz w:val="24"/>
        </w:rPr>
        <w:t xml:space="preserve">United Nations Educational, Scientific and Cultural Organization. (2024). </w:t>
      </w:r>
      <w:r>
        <w:rPr>
          <w:rFonts w:ascii="Times New Roman" w:hAnsi="Times New Roman"/>
          <w:b w:val="0"/>
          <w:i/>
          <w:sz w:val="24"/>
        </w:rPr>
        <w:t>AI competency framework for students</w:t>
      </w:r>
      <w:r>
        <w:rPr>
          <w:rFonts w:ascii="Times New Roman" w:hAnsi="Times New Roman"/>
          <w:b w:val="0"/>
          <w:i w:val="0"/>
          <w:sz w:val="24"/>
        </w:rPr>
        <w:t xml:space="preserve">. </w:t>
      </w:r>
      <w:hyperlink r:id="rId15">
        <w:r>
          <w:rPr>
            <w:rFonts w:ascii="Times New Roman" w:hAnsi="Times New Roman"/>
            <w:sz w:val="24"/>
            <w:szCs w:val="24"/>
            <w:color w:val="000000"/>
            <w:u w:val="none"/>
          </w:rPr>
          <w:t>https://unesdoc.unesco.org/ark:/48223/pf0000391105</w:t>
        </w:r>
      </w:hyperlink>
    </w:p>
    <w:p>
      <w:pPr>
        <w:keepNext w:val="0"/>
        <w:widowControl/>
        <w:spacing w:line="360" w:lineRule="auto" w:before="0" w:after="120"/>
        <w:ind w:left="720" w:hanging="720"/>
      </w:pPr>
      <w:r>
        <w:rPr>
          <w:rFonts w:ascii="Times New Roman" w:hAnsi="Times New Roman"/>
          <w:b w:val="0"/>
          <w:i w:val="0"/>
          <w:sz w:val="24"/>
        </w:rPr>
        <w:t xml:space="preserve">U.S. Copyright Office. (2025). </w:t>
      </w:r>
      <w:r>
        <w:rPr>
          <w:rFonts w:ascii="Times New Roman" w:hAnsi="Times New Roman"/>
          <w:b w:val="0"/>
          <w:i/>
          <w:sz w:val="24"/>
        </w:rPr>
        <w:t>Copyright and artificial intelligence, part 2: Copyrightability</w:t>
      </w:r>
      <w:r>
        <w:rPr>
          <w:rFonts w:ascii="Times New Roman" w:hAnsi="Times New Roman"/>
          <w:b w:val="0"/>
          <w:i w:val="0"/>
          <w:sz w:val="24"/>
        </w:rPr>
        <w:t xml:space="preserve">. </w:t>
      </w:r>
      <w:hyperlink r:id="rId16">
        <w:r>
          <w:rPr>
            <w:rFonts w:ascii="Times New Roman" w:hAnsi="Times New Roman"/>
            <w:sz w:val="24"/>
            <w:szCs w:val="24"/>
            <w:color w:val="000000"/>
            <w:u w:val="none"/>
          </w:rPr>
          <w:t>https://www.copyright.gov/ai/Copyright-and-Artificial-Intelligence-Part-2-Copyrightability-Report.pdf</w:t>
        </w:r>
      </w:hyperlink>
    </w:p>
    <w:p>
      <w:pPr>
        <w:keepNext w:val="0"/>
        <w:widowControl/>
        <w:spacing w:line="360" w:lineRule="auto" w:before="0" w:after="120"/>
        <w:ind w:left="720" w:hanging="720"/>
      </w:pPr>
      <w:r>
        <w:rPr>
          <w:rFonts w:ascii="Times New Roman" w:hAnsi="Times New Roman"/>
          <w:b w:val="0"/>
          <w:i w:val="0"/>
          <w:sz w:val="24"/>
        </w:rPr>
        <w:t xml:space="preserve">U.S. Department of Education, Office of Educational Technology. (2023). </w:t>
      </w:r>
      <w:r>
        <w:rPr>
          <w:rFonts w:ascii="Times New Roman" w:hAnsi="Times New Roman"/>
          <w:b w:val="0"/>
          <w:i/>
          <w:sz w:val="24"/>
        </w:rPr>
        <w:t>Artificial intelligence and the future of teaching and learning: Insights and recommendations</w:t>
      </w:r>
      <w:r>
        <w:rPr>
          <w:rFonts w:ascii="Times New Roman" w:hAnsi="Times New Roman"/>
          <w:b w:val="0"/>
          <w:i w:val="0"/>
          <w:sz w:val="24"/>
        </w:rPr>
        <w:t xml:space="preserve">. </w:t>
      </w:r>
      <w:hyperlink r:id="rId17">
        <w:r>
          <w:rPr>
            <w:rFonts w:ascii="Times New Roman" w:hAnsi="Times New Roman"/>
            <w:sz w:val="24"/>
            <w:szCs w:val="24"/>
            <w:color w:val="000000"/>
            <w:u w:val="none"/>
          </w:rPr>
          <w:t>https://www.ed.gov/sites/ed/files/documents/ai-report/ai-report.pdf</w:t>
        </w:r>
      </w:hyperlink>
    </w:p>
    <w:p>
      <w:pPr>
        <w:keepNext w:val="0"/>
        <w:widowControl/>
        <w:spacing w:line="360" w:lineRule="auto" w:before="0" w:after="120"/>
        <w:ind w:left="720" w:hanging="720"/>
      </w:pPr>
      <w:r>
        <w:rPr>
          <w:rFonts w:ascii="Times New Roman" w:hAnsi="Times New Roman"/>
          <w:b w:val="0"/>
          <w:i w:val="0"/>
          <w:sz w:val="24"/>
        </w:rPr>
        <w:t xml:space="preserve">University of the District of Columbia. (n.d.). </w:t>
      </w:r>
      <w:r>
        <w:rPr>
          <w:rFonts w:ascii="Times New Roman" w:hAnsi="Times New Roman"/>
          <w:b w:val="0"/>
          <w:i/>
          <w:sz w:val="24"/>
        </w:rPr>
        <w:t>Art: Studio art, graphic design and photography - B.A.</w:t>
      </w:r>
      <w:r>
        <w:rPr>
          <w:rFonts w:ascii="Times New Roman" w:hAnsi="Times New Roman"/>
          <w:b w:val="0"/>
          <w:i w:val="0"/>
          <w:sz w:val="24"/>
        </w:rPr>
        <w:t xml:space="preserve"> </w:t>
      </w:r>
      <w:hyperlink r:id="rId18">
        <w:r>
          <w:rPr>
            <w:rFonts w:ascii="Times New Roman" w:hAnsi="Times New Roman"/>
            <w:sz w:val="24"/>
            <w:szCs w:val="24"/>
            <w:color w:val="000000"/>
            <w:u w:val="none"/>
          </w:rPr>
          <w:t>https://www.udc.edu/cas/arts-humanities/art/</w:t>
        </w:r>
      </w:hyperlink>
    </w:p>
    <w:sectPr w:rsidR="00FC693F" w:rsidRPr="0006063C" w:rsidSect="00034616">
      <w:headerReference w:type="default" r:id="rId9"/>
      <w:footerReference w:type="default" r:id="rId10"/>
      <w:pgSz w:w="12240" w:h="15840"/>
      <w:pgMar w:top="1440" w:right="1440" w:bottom="1440" w:left="1440" w:header="720" w:footer="720" w:gutter="0"/>
      <w:cols w:space="720"/>
      <w:docGrid w:linePitch="360"/>
      <w:pgNumType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sz w:val="24"/>
      </w:rPr>
      <w:fldChar w:fldCharType="begin"/>
      <w:instrText xml:space="preserve"> PAGE </w:instrText>
      <w:fldChar w:fldCharType="separate"/>
      <w:t>1</w:t>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after="120"/>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line="360" w:lineRule="auto"/>
      <w:outlineLvl w:val="0"/>
    </w:pPr>
    <w:rPr>
      <w:rFonts w:asciiTheme="majorHAnsi" w:eastAsiaTheme="majorEastAsia" w:hAnsiTheme="majorHAnsi" w:cstheme="majorBidi" w:ascii="Times New Roman" w:hAnsi="Times New Roman"/>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180" w:after="80" w:line="360" w:lineRule="auto"/>
      <w:outlineLvl w:val="1"/>
    </w:pPr>
    <w:rPr>
      <w:rFonts w:asciiTheme="majorHAnsi" w:eastAsiaTheme="majorEastAsia" w:hAnsiTheme="majorHAnsi" w:cstheme="majorBidi" w:ascii="Times New Roman" w:hAnsi="Times New Roman"/>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line="360" w:lineRule="auto" w:after="60"/>
      <w:contextualSpacing/>
    </w:pPr>
    <w:rPr>
      <w:rFonts w:ascii="Times New Roman" w:hAnsi="Times New Roman"/>
      <w:sz w:val="24"/>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line="360" w:lineRule="auto" w:after="60"/>
      <w:contextualSpacing/>
    </w:pPr>
    <w:rPr>
      <w:rFonts w:ascii="Times New Roman" w:hAnsi="Times New Roman"/>
      <w:sz w:val="24"/>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doi.org/10.28945/5546" TargetMode="External"/><Relationship Id="rId12" Type="http://schemas.openxmlformats.org/officeDocument/2006/relationships/hyperlink" Target="https://udc.libguides.com/ai/home" TargetMode="External"/><Relationship Id="rId13" Type="http://schemas.openxmlformats.org/officeDocument/2006/relationships/hyperlink" Target="https://octo.dc.gov/release/dc-becomes-first-major-us-city-require-responsible-ai-training-government-workforce" TargetMode="External"/><Relationship Id="rId14" Type="http://schemas.openxmlformats.org/officeDocument/2006/relationships/hyperlink" Target="https://doi.org/10.53761/q3azde36" TargetMode="External"/><Relationship Id="rId15" Type="http://schemas.openxmlformats.org/officeDocument/2006/relationships/hyperlink" Target="https://unesdoc.unesco.org/ark:/48223/pf0000391105" TargetMode="External"/><Relationship Id="rId16" Type="http://schemas.openxmlformats.org/officeDocument/2006/relationships/hyperlink" Target="https://www.copyright.gov/ai/Copyright-and-Artificial-Intelligence-Part-2-Copyrightability-Report.pdf" TargetMode="External"/><Relationship Id="rId17" Type="http://schemas.openxmlformats.org/officeDocument/2006/relationships/hyperlink" Target="https://www.ed.gov/sites/ed/files/documents/ai-report/ai-report.pdf" TargetMode="External"/><Relationship Id="rId18" Type="http://schemas.openxmlformats.org/officeDocument/2006/relationships/hyperlink" Target="https://www.udc.edu/cas/arts-humanities/a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Responsible Artificial Intelligence Guidelines for Fine Arts Students</dc:title>
  <dc:subject>Module Two Project Proposal</dc:subject>
  <dc:creator>Connor Tracy</dc:creator>
  <cp:keywords>UDC, fine arts, artificial intelligence, proposal</cp:keywords>
  <dc:description>generated by python-docx</dc:description>
  <cp:lastModifiedBy/>
  <cp:revision>1</cp:revision>
  <dcterms:created xsi:type="dcterms:W3CDTF">2013-12-23T23:15:00Z</dcterms:created>
  <dcterms:modified xsi:type="dcterms:W3CDTF">2013-12-23T23:15:00Z</dcterms:modified>
  <cp:category/>
</cp:coreProperties>
</file>